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rsidR="00D84F3A" w:rsidRDefault="00D84F3A" w:rsidP="00D84F3A">
      <w:pPr>
        <w:pStyle w:val="ToRWGTitle"/>
        <w:jc w:val="center"/>
        <w:rPr>
          <w:rFonts w:ascii="Qanelas" w:hAnsi="Qanelas"/>
          <w:b/>
          <w:sz w:val="44"/>
          <w:szCs w:val="48"/>
        </w:rPr>
      </w:pPr>
      <w:r>
        <w:rPr>
          <w:rFonts w:ascii="Qanelas" w:hAnsi="Qanelas"/>
          <w:b/>
          <w:sz w:val="44"/>
          <w:szCs w:val="48"/>
        </w:rPr>
        <w:t>Markets &amp; Investments Committee</w:t>
      </w:r>
    </w:p>
    <w:p w:rsidR="004F47E1" w:rsidRPr="00CD1F76" w:rsidRDefault="00D84F3A" w:rsidP="004F47E1">
      <w:pPr>
        <w:pStyle w:val="ToRWGTitle"/>
        <w:jc w:val="center"/>
        <w:rPr>
          <w:rFonts w:ascii="Qanelas" w:hAnsi="Qanelas"/>
          <w:b/>
          <w:sz w:val="44"/>
          <w:szCs w:val="48"/>
        </w:rPr>
      </w:pPr>
      <w:r>
        <w:rPr>
          <w:rFonts w:ascii="Qanelas" w:hAnsi="Qanelas"/>
          <w:b/>
          <w:sz w:val="44"/>
          <w:szCs w:val="48"/>
        </w:rPr>
        <w:t>WG</w:t>
      </w:r>
      <w:r w:rsidR="00221A07">
        <w:rPr>
          <w:rFonts w:ascii="Qanelas" w:hAnsi="Qanelas"/>
          <w:b/>
          <w:sz w:val="44"/>
          <w:szCs w:val="48"/>
        </w:rPr>
        <w:t xml:space="preserve"> Gas to Power</w:t>
      </w:r>
    </w:p>
    <w:p w:rsidR="004F47E1" w:rsidRPr="00CD1F76" w:rsidRDefault="004F47E1" w:rsidP="004F47E1">
      <w:pPr>
        <w:pStyle w:val="ToRWGTitle"/>
        <w:jc w:val="center"/>
        <w:rPr>
          <w:rFonts w:ascii="Qanelas" w:hAnsi="Qanelas"/>
          <w:b/>
          <w:sz w:val="48"/>
          <w:szCs w:val="52"/>
        </w:rPr>
      </w:pPr>
    </w:p>
    <w:tbl>
      <w:tblPr>
        <w:tblW w:w="0" w:type="auto"/>
        <w:tblLook w:val="01E0" w:firstRow="1" w:lastRow="1" w:firstColumn="1" w:lastColumn="1" w:noHBand="0" w:noVBand="0"/>
      </w:tblPr>
      <w:tblGrid>
        <w:gridCol w:w="5111"/>
        <w:gridCol w:w="4131"/>
      </w:tblGrid>
      <w:tr w:rsidR="00CD1F76" w:rsidRPr="00CD1F76" w:rsidTr="00F13856">
        <w:tc>
          <w:tcPr>
            <w:tcW w:w="5357" w:type="dxa"/>
            <w:shd w:val="clear" w:color="auto" w:fill="auto"/>
          </w:tcPr>
          <w:p w:rsidR="00A72424" w:rsidRPr="00221A07" w:rsidRDefault="004F47E1" w:rsidP="00A72424">
            <w:pPr>
              <w:pStyle w:val="ToRChairman"/>
              <w:rPr>
                <w:rFonts w:ascii="Qanelas" w:hAnsi="Qanelas"/>
                <w:b/>
              </w:rPr>
            </w:pPr>
            <w:r w:rsidRPr="00CD1F76">
              <w:rPr>
                <w:rFonts w:ascii="Qanelas" w:hAnsi="Qanelas"/>
                <w:b/>
                <w:szCs w:val="22"/>
              </w:rPr>
              <w:t>CHAIRS:</w:t>
            </w:r>
            <w:r w:rsidRPr="00CD1F76">
              <w:rPr>
                <w:rFonts w:ascii="Qanelas" w:hAnsi="Qanelas"/>
                <w:b/>
                <w:lang w:val="es-ES"/>
              </w:rPr>
              <w:t xml:space="preserve">  </w:t>
            </w:r>
            <w:r w:rsidRPr="00CD1F76">
              <w:rPr>
                <w:rFonts w:ascii="Qanelas" w:hAnsi="Qanelas"/>
                <w:b/>
                <w:lang w:val="es-ES"/>
              </w:rPr>
              <w:tab/>
            </w:r>
            <w:r w:rsidR="00221A07">
              <w:rPr>
                <w:rFonts w:ascii="Qanelas" w:hAnsi="Qanelas"/>
                <w:b/>
              </w:rPr>
              <w:t>Cyril HARRY (FR</w:t>
            </w:r>
            <w:r w:rsidRPr="00CD1F76">
              <w:rPr>
                <w:rFonts w:ascii="Qanelas" w:hAnsi="Qanelas"/>
                <w:b/>
              </w:rPr>
              <w:t>)</w:t>
            </w:r>
            <w:r w:rsidR="00BB3A94">
              <w:rPr>
                <w:rFonts w:ascii="Qanelas" w:hAnsi="Qanelas"/>
                <w:b/>
              </w:rPr>
              <w:t xml:space="preserve">, </w:t>
            </w:r>
          </w:p>
          <w:p w:rsidR="00CD1F76" w:rsidRPr="00221A07" w:rsidRDefault="00CD1F76" w:rsidP="00221A07">
            <w:pPr>
              <w:pStyle w:val="ToRChairman"/>
              <w:rPr>
                <w:rFonts w:ascii="Qanelas" w:hAnsi="Qanelas"/>
                <w:b/>
              </w:rPr>
            </w:pPr>
          </w:p>
        </w:tc>
        <w:tc>
          <w:tcPr>
            <w:tcW w:w="4282" w:type="dxa"/>
            <w:shd w:val="clear" w:color="auto" w:fill="auto"/>
          </w:tcPr>
          <w:p w:rsidR="004F47E1" w:rsidRPr="00CD1F76" w:rsidRDefault="00CD1F76" w:rsidP="00221A07">
            <w:pPr>
              <w:rPr>
                <w:rFonts w:ascii="Qanelas" w:hAnsi="Qanelas"/>
                <w:b/>
                <w:lang w:val="de-DE"/>
              </w:rPr>
            </w:pPr>
            <w:r>
              <w:rPr>
                <w:rFonts w:ascii="Qanelas" w:hAnsi="Qanelas"/>
                <w:b/>
                <w:lang w:val="de-DE"/>
              </w:rPr>
              <w:t xml:space="preserve">SECRETARIAT: </w:t>
            </w:r>
            <w:r w:rsidR="00221A07">
              <w:rPr>
                <w:rFonts w:ascii="Qanelas" w:hAnsi="Qanelas"/>
                <w:b/>
                <w:lang w:val="de-DE"/>
              </w:rPr>
              <w:t>Blandine MALVAULT</w:t>
            </w:r>
          </w:p>
        </w:tc>
      </w:tr>
    </w:tbl>
    <w:p w:rsidR="004F47E1" w:rsidRPr="000C6EA4" w:rsidRDefault="000C6EA4" w:rsidP="004F47E1">
      <w:pPr>
        <w:rPr>
          <w:rFonts w:ascii="Calibri" w:hAnsi="Calibri"/>
          <w:b/>
          <w:lang w:val="de-DE"/>
        </w:rPr>
      </w:pPr>
      <w:r w:rsidRPr="000C6EA4">
        <w:rPr>
          <w:rFonts w:ascii="Calibri" w:hAnsi="Calibri"/>
          <w:b/>
          <w:lang w:val="de-DE"/>
        </w:rPr>
        <w:t>VICE CHAIR: TBD</w:t>
      </w:r>
    </w:p>
    <w:p w:rsidR="004F47E1" w:rsidRDefault="004F47E1" w:rsidP="004F47E1">
      <w:pPr>
        <w:tabs>
          <w:tab w:val="left" w:pos="6600"/>
        </w:tabs>
        <w:rPr>
          <w:rFonts w:ascii="Calibri" w:hAnsi="Calibri"/>
          <w:b/>
          <w:color w:val="005DAA"/>
          <w:sz w:val="24"/>
          <w:szCs w:val="24"/>
        </w:rPr>
      </w:pPr>
      <w:r w:rsidRPr="00BF62E8">
        <w:rPr>
          <w:rFonts w:ascii="Calibri" w:hAnsi="Calibri"/>
          <w:b/>
          <w:color w:val="2C63FE"/>
          <w:sz w:val="24"/>
          <w:szCs w:val="24"/>
        </w:rPr>
        <w:t>Group Rationale</w:t>
      </w:r>
    </w:p>
    <w:p w:rsidR="00221A07" w:rsidRPr="008713D6" w:rsidRDefault="00221A07" w:rsidP="00FE2641">
      <w:pPr>
        <w:jc w:val="both"/>
        <w:outlineLvl w:val="0"/>
      </w:pPr>
      <w:r w:rsidRPr="008713D6">
        <w:t xml:space="preserve">The </w:t>
      </w:r>
      <w:r w:rsidR="00847DCA" w:rsidRPr="008713D6">
        <w:t>WG</w:t>
      </w:r>
      <w:r w:rsidRPr="008713D6">
        <w:t xml:space="preserve"> Gas to Power promotes the interests of the electricity industry members in their capacity as large gas users. The core objective of </w:t>
      </w:r>
      <w:proofErr w:type="spellStart"/>
      <w:r w:rsidR="00D84F3A" w:rsidRPr="008713D6">
        <w:t>Eurelectric</w:t>
      </w:r>
      <w:proofErr w:type="spellEnd"/>
      <w:r w:rsidR="004A5976" w:rsidRPr="008713D6">
        <w:t xml:space="preserve"> </w:t>
      </w:r>
      <w:r w:rsidRPr="008713D6">
        <w:t>activities is to proactively influence the establishment of a fully-fledged, competitive, flexible and integrated gas market throughout Europe and of an adequate framework able to ensure security of gas supplies for gas-fired power plants in an efficient manner.</w:t>
      </w:r>
    </w:p>
    <w:p w:rsidR="00221A07" w:rsidRPr="008713D6" w:rsidRDefault="00221A07" w:rsidP="00FE2641">
      <w:pPr>
        <w:jc w:val="both"/>
        <w:outlineLvl w:val="0"/>
      </w:pPr>
      <w:r w:rsidRPr="008713D6">
        <w:t xml:space="preserve">The </w:t>
      </w:r>
      <w:r w:rsidR="00930476" w:rsidRPr="008713D6">
        <w:t>WG</w:t>
      </w:r>
      <w:r w:rsidRPr="008713D6">
        <w:t xml:space="preserve"> monitors</w:t>
      </w:r>
      <w:r w:rsidR="00BC71B9" w:rsidRPr="008713D6">
        <w:t xml:space="preserve"> and assesses </w:t>
      </w:r>
      <w:r w:rsidRPr="008713D6">
        <w:t xml:space="preserve">the EU regulatory framework, participates to </w:t>
      </w:r>
      <w:r w:rsidR="007540CF" w:rsidRPr="008713D6">
        <w:t xml:space="preserve">European </w:t>
      </w:r>
      <w:r w:rsidRPr="008713D6">
        <w:t xml:space="preserve">workshops on gas topics and any other related activities, and actively contributes to </w:t>
      </w:r>
      <w:r w:rsidR="00AE2D3C" w:rsidRPr="008713D6">
        <w:t xml:space="preserve">both </w:t>
      </w:r>
      <w:r w:rsidRPr="008713D6">
        <w:t>the Madrid Forum</w:t>
      </w:r>
      <w:r w:rsidR="007540CF" w:rsidRPr="008713D6">
        <w:t xml:space="preserve"> </w:t>
      </w:r>
      <w:r w:rsidR="00AE2D3C" w:rsidRPr="008713D6">
        <w:t xml:space="preserve">and </w:t>
      </w:r>
      <w:r w:rsidR="007540CF" w:rsidRPr="008713D6">
        <w:t>the Gas Coordination Group of the EC</w:t>
      </w:r>
      <w:r w:rsidRPr="008713D6">
        <w:t>. The WG aims at bridging the gap between the electricity and gas markets in ensuring greater convergence in the development of the applicable regulatory frameworks</w:t>
      </w:r>
      <w:r w:rsidR="00167A08" w:rsidRPr="008713D6">
        <w:t xml:space="preserve"> conditionally upon all environmental and energy transition targets</w:t>
      </w:r>
      <w:r w:rsidRPr="008713D6">
        <w:t>, in a perspective of reinforced interactions and synergies between both commodities over the next years.</w:t>
      </w:r>
    </w:p>
    <w:p w:rsidR="00221A07" w:rsidRPr="008713D6" w:rsidRDefault="00221A07" w:rsidP="00FE2641">
      <w:pPr>
        <w:jc w:val="both"/>
        <w:outlineLvl w:val="0"/>
      </w:pPr>
      <w:r w:rsidRPr="008713D6">
        <w:t xml:space="preserve">Among others, the </w:t>
      </w:r>
      <w:r w:rsidR="00847DCA" w:rsidRPr="008713D6">
        <w:t>WG</w:t>
      </w:r>
      <w:r w:rsidRPr="008713D6">
        <w:t xml:space="preserve"> prepares </w:t>
      </w:r>
      <w:proofErr w:type="spellStart"/>
      <w:r w:rsidR="00D84F3A" w:rsidRPr="008713D6">
        <w:t>Eurelectric</w:t>
      </w:r>
      <w:proofErr w:type="spellEnd"/>
      <w:r w:rsidR="004A5976" w:rsidRPr="008713D6">
        <w:t xml:space="preserve"> </w:t>
      </w:r>
      <w:r w:rsidRPr="008713D6">
        <w:t>views and positions on security of supply and on gas market design (current issues, po</w:t>
      </w:r>
      <w:r w:rsidR="00B66412" w:rsidRPr="008713D6">
        <w:t>tential evolutions</w:t>
      </w:r>
      <w:r w:rsidR="004A5976" w:rsidRPr="008713D6">
        <w:t xml:space="preserve">) </w:t>
      </w:r>
      <w:r w:rsidRPr="008713D6">
        <w:t>and elaborates positions on these topics, linked to external energy policy.</w:t>
      </w:r>
    </w:p>
    <w:p w:rsidR="00221A07" w:rsidRPr="008713D6" w:rsidRDefault="00221A07" w:rsidP="00F869DD">
      <w:pPr>
        <w:spacing w:after="0"/>
        <w:jc w:val="both"/>
        <w:outlineLvl w:val="0"/>
      </w:pPr>
      <w:r w:rsidRPr="008713D6">
        <w:t xml:space="preserve">Its portfolio includes by nature all gas to power issues </w:t>
      </w:r>
      <w:r w:rsidR="00167A08" w:rsidRPr="008713D6">
        <w:t>of which worth’s to mention:</w:t>
      </w:r>
      <w:r w:rsidR="0046606B" w:rsidRPr="008713D6">
        <w:t xml:space="preserve"> </w:t>
      </w:r>
      <w:r w:rsidRPr="008713D6">
        <w:t xml:space="preserve">flexible and liquid gas markets, gas infrastructures, LNG, gas storage (also as a means for energy storage upfront to electricity storage), gas quality, </w:t>
      </w:r>
      <w:r w:rsidR="002A1D44" w:rsidRPr="008713D6">
        <w:t xml:space="preserve">green </w:t>
      </w:r>
      <w:r w:rsidRPr="008713D6">
        <w:t xml:space="preserve">gas development, diversification of gas supply, etc. </w:t>
      </w:r>
    </w:p>
    <w:p w:rsidR="00F869DD" w:rsidRPr="008713D6" w:rsidRDefault="00F869DD" w:rsidP="00FE2641">
      <w:pPr>
        <w:jc w:val="both"/>
        <w:outlineLvl w:val="0"/>
      </w:pPr>
    </w:p>
    <w:p w:rsidR="007F3CE9" w:rsidRDefault="00847DCA" w:rsidP="007F3CE9">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t>WG</w:t>
      </w:r>
      <w:r w:rsidR="007F3CE9">
        <w:rPr>
          <w:rFonts w:eastAsiaTheme="minorEastAsia" w:hAnsi="Calibri" w:cs="EDP Preon Regular"/>
          <w:b/>
          <w:color w:val="2C63FF"/>
          <w:kern w:val="24"/>
          <w:sz w:val="24"/>
          <w:szCs w:val="50"/>
        </w:rPr>
        <w:t xml:space="preserve"> Members:</w:t>
      </w:r>
    </w:p>
    <w:p w:rsidR="007F3CE9" w:rsidRPr="008713D6" w:rsidRDefault="007F3CE9" w:rsidP="00F869DD">
      <w:pPr>
        <w:spacing w:after="0"/>
        <w:outlineLvl w:val="0"/>
      </w:pPr>
      <w:r w:rsidRPr="008713D6">
        <w:t xml:space="preserve">The </w:t>
      </w:r>
      <w:r w:rsidR="0093339E" w:rsidRPr="008713D6">
        <w:t>WG</w:t>
      </w:r>
      <w:r w:rsidRPr="008713D6">
        <w:t xml:space="preserve"> is composed of experts from national associations or companies active in the field of gas.</w:t>
      </w:r>
    </w:p>
    <w:p w:rsidR="00F869DD" w:rsidRDefault="00F869DD" w:rsidP="007F3CE9">
      <w:pPr>
        <w:outlineLvl w:val="0"/>
        <w:rPr>
          <w:color w:val="595959" w:themeColor="text1" w:themeTint="A6"/>
        </w:rPr>
      </w:pPr>
    </w:p>
    <w:p w:rsidR="007F3CE9" w:rsidRDefault="007F3CE9" w:rsidP="007F3CE9">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t xml:space="preserve">Transversal </w:t>
      </w:r>
      <w:proofErr w:type="spellStart"/>
      <w:r w:rsidR="00D84F3A">
        <w:rPr>
          <w:rFonts w:eastAsiaTheme="minorEastAsia" w:hAnsi="Calibri" w:cs="EDP Preon Regular"/>
          <w:b/>
          <w:color w:val="2C63FF"/>
          <w:kern w:val="24"/>
          <w:sz w:val="24"/>
          <w:szCs w:val="50"/>
        </w:rPr>
        <w:t>Eurelectric</w:t>
      </w:r>
      <w:proofErr w:type="spellEnd"/>
      <w:r>
        <w:rPr>
          <w:rFonts w:eastAsiaTheme="minorEastAsia" w:hAnsi="Calibri" w:cs="EDP Preon Regular"/>
          <w:b/>
          <w:color w:val="2C63FF"/>
          <w:kern w:val="24"/>
          <w:sz w:val="24"/>
          <w:szCs w:val="50"/>
        </w:rPr>
        <w:t xml:space="preserve"> Cooperation:</w:t>
      </w:r>
    </w:p>
    <w:p w:rsidR="00F869DD" w:rsidRPr="008713D6" w:rsidRDefault="007F3CE9" w:rsidP="00D84F3A">
      <w:pPr>
        <w:jc w:val="both"/>
        <w:outlineLvl w:val="0"/>
      </w:pPr>
      <w:r w:rsidRPr="008713D6">
        <w:t xml:space="preserve">The </w:t>
      </w:r>
      <w:r w:rsidR="00847DCA" w:rsidRPr="008713D6">
        <w:t>WG</w:t>
      </w:r>
      <w:r w:rsidRPr="008713D6">
        <w:t xml:space="preserve"> reports directly to the Markets</w:t>
      </w:r>
      <w:r w:rsidR="00355484" w:rsidRPr="008713D6">
        <w:t xml:space="preserve"> </w:t>
      </w:r>
      <w:r w:rsidR="00714CE0" w:rsidRPr="008713D6">
        <w:t>&amp; Investments</w:t>
      </w:r>
      <w:r w:rsidRPr="008713D6">
        <w:t xml:space="preserve"> Committee. </w:t>
      </w:r>
      <w:r w:rsidR="00355484" w:rsidRPr="008713D6">
        <w:t>T</w:t>
      </w:r>
      <w:r w:rsidRPr="008713D6">
        <w:t xml:space="preserve">he </w:t>
      </w:r>
      <w:r w:rsidR="00847DCA" w:rsidRPr="008713D6">
        <w:t>WG</w:t>
      </w:r>
      <w:r w:rsidRPr="008713D6">
        <w:t xml:space="preserve"> Gas to Power can also punctually report to other Committees if this is deemed necessary e.g. to the Generation Committee for issues related to security of supply. The </w:t>
      </w:r>
      <w:r w:rsidR="00847DCA" w:rsidRPr="008713D6">
        <w:t>WG</w:t>
      </w:r>
      <w:r w:rsidRPr="008713D6">
        <w:t xml:space="preserve"> can also punctually liaise with other WGs, on both gas-to-power and power-to-gas topics.</w:t>
      </w:r>
    </w:p>
    <w:p w:rsidR="007F3CE9" w:rsidRDefault="007F3CE9" w:rsidP="007F3CE9">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lastRenderedPageBreak/>
        <w:t xml:space="preserve">European and international liaison:  </w:t>
      </w:r>
    </w:p>
    <w:p w:rsidR="007F3CE9" w:rsidRPr="008713D6" w:rsidRDefault="007F3CE9" w:rsidP="00F869DD">
      <w:pPr>
        <w:spacing w:after="0"/>
        <w:jc w:val="both"/>
        <w:outlineLvl w:val="0"/>
      </w:pPr>
      <w:r w:rsidRPr="008713D6">
        <w:t>Gas Coordination Group,</w:t>
      </w:r>
      <w:r w:rsidR="00F869DD" w:rsidRPr="008713D6">
        <w:t xml:space="preserve"> </w:t>
      </w:r>
      <w:r w:rsidRPr="008713D6">
        <w:t>DG Energy (ENER), Agency of the Cooperation of Energy Regulators (ACER), Council of European Energy Regulators (CEER),</w:t>
      </w:r>
      <w:r w:rsidR="00F869DD" w:rsidRPr="008713D6">
        <w:t xml:space="preserve"> </w:t>
      </w:r>
      <w:r w:rsidRPr="008713D6">
        <w:t>ENTSOG &amp; GIE,</w:t>
      </w:r>
      <w:r w:rsidR="00F869DD" w:rsidRPr="008713D6">
        <w:t xml:space="preserve"> </w:t>
      </w:r>
      <w:proofErr w:type="spellStart"/>
      <w:r w:rsidRPr="008713D6">
        <w:t>Eurogas</w:t>
      </w:r>
      <w:proofErr w:type="spellEnd"/>
      <w:r w:rsidRPr="008713D6">
        <w:t>, EFET</w:t>
      </w:r>
      <w:r w:rsidR="00F869DD" w:rsidRPr="008713D6">
        <w:t xml:space="preserve">, </w:t>
      </w:r>
      <w:r w:rsidR="00D7671D" w:rsidRPr="008713D6">
        <w:t xml:space="preserve">IOGP (International </w:t>
      </w:r>
      <w:r w:rsidR="00D02FEA" w:rsidRPr="008713D6">
        <w:t>Association of Oil &amp; Gas Producers)</w:t>
      </w:r>
      <w:r w:rsidRPr="008713D6">
        <w:t>.</w:t>
      </w:r>
    </w:p>
    <w:p w:rsidR="00221A07" w:rsidRDefault="00221A07" w:rsidP="007F3CE9">
      <w:pPr>
        <w:spacing w:after="0"/>
        <w:jc w:val="both"/>
        <w:rPr>
          <w:rFonts w:ascii="Calibri" w:hAnsi="Calibri"/>
          <w:b/>
          <w:color w:val="005DAA"/>
          <w:sz w:val="24"/>
          <w:szCs w:val="24"/>
        </w:rPr>
      </w:pPr>
    </w:p>
    <w:p w:rsidR="00221A07" w:rsidRDefault="008A4E18" w:rsidP="007F3CE9">
      <w:pPr>
        <w:tabs>
          <w:tab w:val="left" w:pos="6600"/>
        </w:tabs>
        <w:rPr>
          <w:rFonts w:ascii="Calibri" w:hAnsi="Calibri"/>
          <w:b/>
          <w:color w:val="2C63FE"/>
          <w:sz w:val="24"/>
          <w:szCs w:val="24"/>
        </w:rPr>
      </w:pPr>
      <w:r>
        <w:rPr>
          <w:rFonts w:ascii="Calibri" w:hAnsi="Calibri"/>
          <w:b/>
          <w:color w:val="2C63FE"/>
          <w:sz w:val="24"/>
          <w:szCs w:val="24"/>
        </w:rPr>
        <w:t xml:space="preserve">Work Programme </w:t>
      </w:r>
    </w:p>
    <w:p w:rsidR="008A4E18" w:rsidRPr="008713D6" w:rsidRDefault="008A4E18" w:rsidP="00A43F1E">
      <w:pPr>
        <w:spacing w:after="0"/>
        <w:jc w:val="both"/>
      </w:pPr>
      <w:r w:rsidRPr="008713D6">
        <w:t xml:space="preserve">The Chairmanship along with the Secretariat, on a yearly basis and towards the end of each year, submits a work programme proposal with clearly defined priorities for consideration to the NE,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392B30" w:rsidRDefault="00392B30">
      <w:pPr>
        <w:rPr>
          <w:color w:val="595959" w:themeColor="text1" w:themeTint="A6"/>
        </w:rPr>
      </w:pPr>
    </w:p>
    <w:p w:rsidR="00392B30" w:rsidRDefault="00392B30">
      <w:pPr>
        <w:rPr>
          <w:color w:val="595959" w:themeColor="text1" w:themeTint="A6"/>
        </w:rPr>
      </w:pPr>
      <w:r>
        <w:rPr>
          <w:color w:val="595959" w:themeColor="text1" w:themeTint="A6"/>
        </w:rPr>
        <w:br w:type="page"/>
      </w:r>
    </w:p>
    <w:p w:rsidR="00392B30" w:rsidRDefault="00392B30" w:rsidP="00392B30">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lastRenderedPageBreak/>
        <w:t>ANNEX – Work Programme 2018-2019</w:t>
      </w:r>
    </w:p>
    <w:p w:rsidR="00392B30" w:rsidRDefault="00392B30">
      <w:pPr>
        <w:rPr>
          <w:color w:val="595959" w:themeColor="text1" w:themeTint="A6"/>
        </w:rPr>
      </w:pPr>
    </w:p>
    <w:tbl>
      <w:tblPr>
        <w:tblStyle w:val="TableGrid"/>
        <w:tblW w:w="10327" w:type="dxa"/>
        <w:jc w:val="center"/>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2530"/>
        <w:gridCol w:w="3399"/>
        <w:gridCol w:w="1559"/>
        <w:gridCol w:w="1276"/>
        <w:gridCol w:w="1563"/>
      </w:tblGrid>
      <w:tr w:rsidR="00BD0227" w:rsidRPr="00EE2A76" w:rsidTr="00BD0227">
        <w:trPr>
          <w:jc w:val="center"/>
        </w:trPr>
        <w:tc>
          <w:tcPr>
            <w:tcW w:w="2530" w:type="dxa"/>
            <w:shd w:val="clear" w:color="auto" w:fill="0079F2"/>
          </w:tcPr>
          <w:p w:rsidR="00BD0227" w:rsidRPr="00763B82" w:rsidRDefault="00BD0227" w:rsidP="00235535">
            <w:pPr>
              <w:snapToGrid w:val="0"/>
              <w:spacing w:line="276" w:lineRule="auto"/>
              <w:jc w:val="left"/>
              <w:rPr>
                <w:rFonts w:ascii="Calibri" w:hAnsi="Calibri"/>
                <w:b/>
                <w:color w:val="FFFFFF"/>
                <w:sz w:val="22"/>
                <w:szCs w:val="22"/>
              </w:rPr>
            </w:pPr>
            <w:r w:rsidRPr="00763B82">
              <w:rPr>
                <w:rFonts w:ascii="Calibri" w:hAnsi="Calibri"/>
                <w:b/>
                <w:color w:val="FFFFFF"/>
                <w:sz w:val="22"/>
                <w:szCs w:val="22"/>
              </w:rPr>
              <w:t>Deliverable</w:t>
            </w:r>
          </w:p>
        </w:tc>
        <w:tc>
          <w:tcPr>
            <w:tcW w:w="3399" w:type="dxa"/>
            <w:shd w:val="clear" w:color="auto" w:fill="0079F2"/>
          </w:tcPr>
          <w:p w:rsidR="00BD0227" w:rsidRPr="00763B82" w:rsidRDefault="00BD0227" w:rsidP="00235535">
            <w:pPr>
              <w:snapToGrid w:val="0"/>
              <w:spacing w:line="276" w:lineRule="auto"/>
              <w:jc w:val="left"/>
              <w:rPr>
                <w:rFonts w:ascii="Calibri" w:hAnsi="Calibri"/>
                <w:b/>
                <w:color w:val="FFFFFF"/>
                <w:sz w:val="22"/>
                <w:szCs w:val="22"/>
              </w:rPr>
            </w:pPr>
            <w:r w:rsidRPr="00763B82">
              <w:rPr>
                <w:rFonts w:ascii="Calibri" w:hAnsi="Calibri"/>
                <w:b/>
                <w:color w:val="FFFFFF"/>
                <w:sz w:val="22"/>
                <w:szCs w:val="22"/>
              </w:rPr>
              <w:t>Deliverable tasks</w:t>
            </w:r>
          </w:p>
        </w:tc>
        <w:tc>
          <w:tcPr>
            <w:tcW w:w="1559" w:type="dxa"/>
            <w:shd w:val="clear" w:color="auto" w:fill="0079F2"/>
          </w:tcPr>
          <w:p w:rsidR="00BD0227" w:rsidRPr="00763B82" w:rsidRDefault="00BD0227" w:rsidP="00235535">
            <w:pPr>
              <w:snapToGrid w:val="0"/>
              <w:spacing w:line="276" w:lineRule="auto"/>
              <w:jc w:val="left"/>
              <w:rPr>
                <w:rFonts w:ascii="Calibri" w:hAnsi="Calibri"/>
                <w:b/>
                <w:color w:val="FFFFFF"/>
                <w:sz w:val="22"/>
                <w:szCs w:val="22"/>
              </w:rPr>
            </w:pPr>
            <w:r w:rsidRPr="00763B82">
              <w:rPr>
                <w:rFonts w:ascii="Calibri" w:hAnsi="Calibri"/>
                <w:b/>
                <w:color w:val="FFFFFF"/>
                <w:sz w:val="22"/>
                <w:szCs w:val="22"/>
              </w:rPr>
              <w:t>A</w:t>
            </w:r>
            <w:r>
              <w:rPr>
                <w:rFonts w:ascii="Calibri" w:hAnsi="Calibri"/>
                <w:b/>
                <w:color w:val="FFFFFF"/>
                <w:sz w:val="22"/>
                <w:szCs w:val="22"/>
              </w:rPr>
              <w:t>n</w:t>
            </w:r>
            <w:r w:rsidRPr="00763B82">
              <w:rPr>
                <w:rFonts w:ascii="Calibri" w:hAnsi="Calibri"/>
                <w:b/>
                <w:color w:val="FFFFFF"/>
                <w:sz w:val="22"/>
                <w:szCs w:val="22"/>
              </w:rPr>
              <w:t>ticipated Start date</w:t>
            </w:r>
          </w:p>
        </w:tc>
        <w:tc>
          <w:tcPr>
            <w:tcW w:w="1276" w:type="dxa"/>
            <w:shd w:val="clear" w:color="auto" w:fill="0079F2"/>
          </w:tcPr>
          <w:p w:rsidR="00BD0227" w:rsidRPr="00763B82" w:rsidRDefault="00BD0227" w:rsidP="00235535">
            <w:pPr>
              <w:snapToGrid w:val="0"/>
              <w:spacing w:line="276" w:lineRule="auto"/>
              <w:jc w:val="left"/>
              <w:rPr>
                <w:rFonts w:ascii="Calibri" w:hAnsi="Calibri"/>
                <w:b/>
                <w:color w:val="FFFFFF"/>
                <w:sz w:val="22"/>
                <w:szCs w:val="22"/>
              </w:rPr>
            </w:pPr>
            <w:r w:rsidRPr="00763B82">
              <w:rPr>
                <w:rFonts w:ascii="Calibri" w:hAnsi="Calibri"/>
                <w:b/>
                <w:color w:val="FFFFFF"/>
                <w:sz w:val="22"/>
                <w:szCs w:val="22"/>
              </w:rPr>
              <w:t>Anticipated Delivery date:</w:t>
            </w:r>
          </w:p>
        </w:tc>
        <w:tc>
          <w:tcPr>
            <w:tcW w:w="1563" w:type="dxa"/>
            <w:shd w:val="clear" w:color="auto" w:fill="0079F2"/>
          </w:tcPr>
          <w:p w:rsidR="00BD0227" w:rsidRPr="00763B82" w:rsidRDefault="00BD0227" w:rsidP="00235535">
            <w:pPr>
              <w:snapToGrid w:val="0"/>
              <w:spacing w:line="276" w:lineRule="auto"/>
              <w:jc w:val="left"/>
              <w:rPr>
                <w:rFonts w:ascii="Calibri" w:hAnsi="Calibri"/>
                <w:b/>
                <w:color w:val="FFFFFF"/>
                <w:sz w:val="22"/>
                <w:szCs w:val="22"/>
              </w:rPr>
            </w:pPr>
            <w:r w:rsidRPr="00763B82">
              <w:rPr>
                <w:rFonts w:ascii="Calibri" w:hAnsi="Calibri"/>
                <w:b/>
                <w:color w:val="FFFFFF"/>
                <w:sz w:val="22"/>
                <w:szCs w:val="22"/>
              </w:rPr>
              <w:t>Stakeholders/</w:t>
            </w:r>
          </w:p>
          <w:p w:rsidR="00BD0227" w:rsidRPr="00763B82" w:rsidRDefault="00BD0227" w:rsidP="00BB3A94">
            <w:pPr>
              <w:snapToGrid w:val="0"/>
              <w:spacing w:line="276" w:lineRule="auto"/>
              <w:jc w:val="left"/>
              <w:rPr>
                <w:rFonts w:ascii="Calibri" w:hAnsi="Calibri"/>
                <w:b/>
                <w:color w:val="FFFFFF"/>
                <w:sz w:val="22"/>
                <w:szCs w:val="22"/>
              </w:rPr>
            </w:pPr>
            <w:r w:rsidRPr="00763B82">
              <w:rPr>
                <w:rFonts w:ascii="Calibri" w:hAnsi="Calibri"/>
                <w:b/>
                <w:color w:val="FFFFFF"/>
                <w:sz w:val="22"/>
                <w:szCs w:val="22"/>
              </w:rPr>
              <w:t xml:space="preserve">External parties to be influenced </w:t>
            </w:r>
          </w:p>
        </w:tc>
      </w:tr>
      <w:tr w:rsidR="00D02608" w:rsidRPr="00D02608" w:rsidTr="00BD0227">
        <w:trPr>
          <w:jc w:val="center"/>
        </w:trPr>
        <w:tc>
          <w:tcPr>
            <w:tcW w:w="2530" w:type="dxa"/>
          </w:tcPr>
          <w:p w:rsidR="00BD0227" w:rsidRPr="00D02608" w:rsidRDefault="00BD0227" w:rsidP="00235535">
            <w:pPr>
              <w:spacing w:after="200" w:line="276" w:lineRule="auto"/>
              <w:jc w:val="left"/>
              <w:outlineLvl w:val="0"/>
              <w:rPr>
                <w:rFonts w:asciiTheme="minorHAnsi" w:hAnsiTheme="minorHAnsi"/>
                <w:sz w:val="22"/>
                <w:szCs w:val="22"/>
              </w:rPr>
            </w:pPr>
            <w:bookmarkStart w:id="0" w:name="_GoBack"/>
            <w:r w:rsidRPr="00D02608">
              <w:rPr>
                <w:rFonts w:asciiTheme="minorHAnsi" w:hAnsiTheme="minorHAnsi"/>
                <w:sz w:val="22"/>
                <w:szCs w:val="22"/>
              </w:rPr>
              <w:t>EC study on Gas infrastructures 2050</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Provide comments and recommendations on the contents of the study and inputs.</w:t>
            </w:r>
          </w:p>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 xml:space="preserve">As member of the Sounding Board of the study, interact with other associations and gas stakeholders to voice </w:t>
            </w:r>
            <w:proofErr w:type="spellStart"/>
            <w:r w:rsidRPr="00D02608">
              <w:rPr>
                <w:rFonts w:asciiTheme="minorHAnsi" w:hAnsiTheme="minorHAnsi"/>
                <w:sz w:val="22"/>
                <w:szCs w:val="22"/>
              </w:rPr>
              <w:t>Eurelectric</w:t>
            </w:r>
            <w:proofErr w:type="spellEnd"/>
            <w:r w:rsidRPr="00D02608">
              <w:rPr>
                <w:rFonts w:asciiTheme="minorHAnsi" w:hAnsiTheme="minorHAnsi"/>
                <w:sz w:val="22"/>
                <w:szCs w:val="22"/>
              </w:rPr>
              <w:t xml:space="preserve"> opinion</w:t>
            </w:r>
          </w:p>
        </w:tc>
        <w:tc>
          <w:tcPr>
            <w:tcW w:w="1559"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Q1 2018</w:t>
            </w:r>
          </w:p>
        </w:tc>
        <w:tc>
          <w:tcPr>
            <w:tcW w:w="1276"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Q3 2018</w:t>
            </w:r>
          </w:p>
        </w:tc>
        <w:tc>
          <w:tcPr>
            <w:tcW w:w="1563"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EC</w:t>
            </w:r>
          </w:p>
        </w:tc>
      </w:tr>
      <w:tr w:rsidR="00D02608" w:rsidRPr="00D02608" w:rsidTr="00BD0227">
        <w:trPr>
          <w:trHeight w:val="1523"/>
          <w:jc w:val="center"/>
        </w:trPr>
        <w:tc>
          <w:tcPr>
            <w:tcW w:w="2530" w:type="dxa"/>
          </w:tcPr>
          <w:p w:rsidR="00BD0227" w:rsidRPr="00D02608" w:rsidRDefault="00BD0227" w:rsidP="00235535">
            <w:pPr>
              <w:spacing w:line="276" w:lineRule="auto"/>
              <w:contextualSpacing/>
              <w:jc w:val="left"/>
              <w:outlineLvl w:val="0"/>
              <w:rPr>
                <w:rFonts w:asciiTheme="minorHAnsi" w:hAnsiTheme="minorHAnsi"/>
                <w:sz w:val="22"/>
                <w:szCs w:val="22"/>
              </w:rPr>
            </w:pPr>
            <w:r w:rsidRPr="00D02608">
              <w:rPr>
                <w:rFonts w:asciiTheme="minorHAnsi" w:hAnsiTheme="minorHAnsi"/>
                <w:sz w:val="22"/>
                <w:szCs w:val="22"/>
              </w:rPr>
              <w:t>EC study on the future role of gas and its interactions with the electricity sector (for instance gas to power)</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Provide comments and recommendations on the contents of the study and inputs.</w:t>
            </w:r>
          </w:p>
        </w:tc>
        <w:tc>
          <w:tcPr>
            <w:tcW w:w="1559"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Q2 2018</w:t>
            </w:r>
          </w:p>
        </w:tc>
        <w:tc>
          <w:tcPr>
            <w:tcW w:w="1276"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Q4 2018 – Q1 2019</w:t>
            </w:r>
          </w:p>
        </w:tc>
        <w:tc>
          <w:tcPr>
            <w:tcW w:w="1563"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EC</w:t>
            </w:r>
          </w:p>
        </w:tc>
      </w:tr>
      <w:tr w:rsidR="00D02608" w:rsidRPr="00D02608" w:rsidTr="00BD0227">
        <w:trPr>
          <w:jc w:val="center"/>
        </w:trPr>
        <w:tc>
          <w:tcPr>
            <w:tcW w:w="2530" w:type="dxa"/>
          </w:tcPr>
          <w:p w:rsidR="00BD0227" w:rsidRPr="00D02608" w:rsidRDefault="00BD0227" w:rsidP="00235535">
            <w:pPr>
              <w:spacing w:after="200" w:line="276" w:lineRule="auto"/>
              <w:jc w:val="left"/>
              <w:outlineLvl w:val="0"/>
              <w:rPr>
                <w:rFonts w:asciiTheme="minorHAnsi" w:hAnsiTheme="minorHAnsi"/>
                <w:sz w:val="22"/>
                <w:szCs w:val="22"/>
              </w:rPr>
            </w:pPr>
            <w:r w:rsidRPr="00D02608">
              <w:rPr>
                <w:rFonts w:asciiTheme="minorHAnsi" w:hAnsiTheme="minorHAnsi"/>
                <w:sz w:val="22"/>
                <w:szCs w:val="22"/>
              </w:rPr>
              <w:t>Future role of gas (completion of the CEER FROG Study)</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 xml:space="preserve">Provide feedback within </w:t>
            </w:r>
            <w:proofErr w:type="spellStart"/>
            <w:r w:rsidRPr="00D02608">
              <w:rPr>
                <w:rFonts w:asciiTheme="minorHAnsi" w:hAnsiTheme="minorHAnsi"/>
                <w:sz w:val="22"/>
                <w:szCs w:val="22"/>
              </w:rPr>
              <w:t>Eurelectric</w:t>
            </w:r>
            <w:proofErr w:type="spellEnd"/>
            <w:r w:rsidRPr="00D02608">
              <w:rPr>
                <w:rFonts w:asciiTheme="minorHAnsi" w:hAnsiTheme="minorHAnsi"/>
                <w:sz w:val="22"/>
                <w:szCs w:val="22"/>
              </w:rPr>
              <w:t xml:space="preserve"> on the effect that RES and its policies are having on CCGT running and profitability in national markets.</w:t>
            </w:r>
          </w:p>
        </w:tc>
        <w:tc>
          <w:tcPr>
            <w:tcW w:w="1559"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Q1 2018</w:t>
            </w:r>
          </w:p>
        </w:tc>
        <w:tc>
          <w:tcPr>
            <w:tcW w:w="1276"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Q2 2018</w:t>
            </w:r>
          </w:p>
        </w:tc>
        <w:tc>
          <w:tcPr>
            <w:tcW w:w="1563"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Internal information to provide (WGs)</w:t>
            </w:r>
          </w:p>
        </w:tc>
      </w:tr>
      <w:tr w:rsidR="00D02608" w:rsidRPr="00D02608" w:rsidTr="00BD0227">
        <w:trPr>
          <w:jc w:val="center"/>
        </w:trPr>
        <w:tc>
          <w:tcPr>
            <w:tcW w:w="2530" w:type="dxa"/>
          </w:tcPr>
          <w:p w:rsidR="00BD0227" w:rsidRPr="00D02608" w:rsidRDefault="00BD0227" w:rsidP="00235535">
            <w:pPr>
              <w:outlineLvl w:val="0"/>
            </w:pPr>
            <w:r w:rsidRPr="00D02608">
              <w:rPr>
                <w:rFonts w:asciiTheme="minorHAnsi" w:hAnsiTheme="minorHAnsi"/>
                <w:sz w:val="22"/>
                <w:szCs w:val="22"/>
              </w:rPr>
              <w:t>Future role of gas  from a regulatory perspective (next CEER study aiming at developing CEER’s Vision)</w:t>
            </w:r>
          </w:p>
        </w:tc>
        <w:tc>
          <w:tcPr>
            <w:tcW w:w="3399" w:type="dxa"/>
          </w:tcPr>
          <w:p w:rsidR="00BD0227" w:rsidRPr="00D02608" w:rsidRDefault="00BD0227" w:rsidP="00953FDE">
            <w:pPr>
              <w:pStyle w:val="ListParagraph"/>
              <w:spacing w:after="80"/>
              <w:ind w:left="367"/>
              <w:contextualSpacing w:val="0"/>
              <w:outlineLvl w:val="0"/>
              <w:rPr>
                <w:rFonts w:asciiTheme="minorHAnsi" w:hAnsiTheme="minorHAnsi"/>
                <w:sz w:val="22"/>
                <w:szCs w:val="22"/>
              </w:rPr>
            </w:pPr>
            <w:r w:rsidRPr="00D02608">
              <w:rPr>
                <w:rFonts w:asciiTheme="minorHAnsi" w:hAnsiTheme="minorHAnsi"/>
                <w:sz w:val="22"/>
                <w:szCs w:val="22"/>
              </w:rPr>
              <w:t xml:space="preserve">Provide comments and recommendations on the regulatory framework required for the future role of gas in the perspective of </w:t>
            </w:r>
            <w:proofErr w:type="spellStart"/>
            <w:r w:rsidRPr="00D02608">
              <w:rPr>
                <w:rFonts w:asciiTheme="minorHAnsi" w:hAnsiTheme="minorHAnsi"/>
                <w:sz w:val="22"/>
                <w:szCs w:val="22"/>
              </w:rPr>
              <w:t>decarbonisation</w:t>
            </w:r>
            <w:proofErr w:type="spellEnd"/>
            <w:r w:rsidRPr="00D02608">
              <w:rPr>
                <w:rFonts w:asciiTheme="minorHAnsi" w:hAnsiTheme="minorHAnsi"/>
                <w:sz w:val="22"/>
                <w:szCs w:val="22"/>
              </w:rPr>
              <w:t>.</w:t>
            </w:r>
          </w:p>
        </w:tc>
        <w:tc>
          <w:tcPr>
            <w:tcW w:w="1559" w:type="dxa"/>
          </w:tcPr>
          <w:p w:rsidR="00BD0227" w:rsidRPr="00D02608" w:rsidRDefault="00BD0227" w:rsidP="00235535">
            <w:pPr>
              <w:spacing w:after="80"/>
              <w:outlineLvl w:val="0"/>
            </w:pPr>
            <w:r w:rsidRPr="00D02608">
              <w:rPr>
                <w:rFonts w:asciiTheme="minorHAnsi" w:hAnsiTheme="minorHAnsi"/>
                <w:sz w:val="22"/>
                <w:szCs w:val="22"/>
              </w:rPr>
              <w:t>Q2 2018</w:t>
            </w:r>
          </w:p>
        </w:tc>
        <w:tc>
          <w:tcPr>
            <w:tcW w:w="1276" w:type="dxa"/>
          </w:tcPr>
          <w:p w:rsidR="00BD0227" w:rsidRPr="00D02608" w:rsidRDefault="00BD0227" w:rsidP="00235535">
            <w:pPr>
              <w:spacing w:after="80"/>
              <w:outlineLvl w:val="0"/>
            </w:pPr>
            <w:r w:rsidRPr="00D02608">
              <w:rPr>
                <w:rFonts w:asciiTheme="minorHAnsi" w:hAnsiTheme="minorHAnsi"/>
                <w:sz w:val="22"/>
                <w:szCs w:val="22"/>
              </w:rPr>
              <w:t>Q4 2018 – Q 1 2019</w:t>
            </w:r>
          </w:p>
        </w:tc>
        <w:tc>
          <w:tcPr>
            <w:tcW w:w="1563" w:type="dxa"/>
          </w:tcPr>
          <w:p w:rsidR="00BD0227" w:rsidRPr="00D02608" w:rsidRDefault="00BD0227" w:rsidP="00235535">
            <w:pPr>
              <w:spacing w:after="80"/>
              <w:outlineLvl w:val="0"/>
            </w:pPr>
          </w:p>
        </w:tc>
      </w:tr>
      <w:tr w:rsidR="00D02608" w:rsidRPr="00D02608" w:rsidTr="00BD0227">
        <w:trPr>
          <w:jc w:val="center"/>
        </w:trPr>
        <w:tc>
          <w:tcPr>
            <w:tcW w:w="2530" w:type="dxa"/>
          </w:tcPr>
          <w:p w:rsidR="00BD0227" w:rsidRPr="00D02608" w:rsidRDefault="00BD0227" w:rsidP="00235535">
            <w:pPr>
              <w:spacing w:after="200" w:line="276" w:lineRule="auto"/>
              <w:jc w:val="left"/>
              <w:outlineLvl w:val="0"/>
              <w:rPr>
                <w:rFonts w:asciiTheme="minorHAnsi" w:hAnsiTheme="minorHAnsi"/>
                <w:sz w:val="22"/>
                <w:szCs w:val="22"/>
              </w:rPr>
            </w:pPr>
            <w:r w:rsidRPr="00D02608">
              <w:rPr>
                <w:rFonts w:asciiTheme="minorHAnsi" w:hAnsiTheme="minorHAnsi"/>
                <w:sz w:val="22"/>
                <w:szCs w:val="22"/>
              </w:rPr>
              <w:t xml:space="preserve">Gas coordination group or GCG (implementation of the Regulation 2017/1938 on gas </w:t>
            </w:r>
            <w:proofErr w:type="spellStart"/>
            <w:r w:rsidRPr="00D02608">
              <w:rPr>
                <w:rFonts w:asciiTheme="minorHAnsi" w:hAnsiTheme="minorHAnsi"/>
                <w:sz w:val="22"/>
                <w:szCs w:val="22"/>
              </w:rPr>
              <w:t>SoS</w:t>
            </w:r>
            <w:proofErr w:type="spellEnd"/>
            <w:r w:rsidRPr="00D02608">
              <w:rPr>
                <w:rFonts w:asciiTheme="minorHAnsi" w:hAnsiTheme="minorHAnsi"/>
                <w:sz w:val="22"/>
                <w:szCs w:val="22"/>
              </w:rPr>
              <w:t>)</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Continue exchanging and voicing our concerns at GCG meetings.</w:t>
            </w:r>
          </w:p>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 xml:space="preserve">Follow-up of the implementation of the new EU Regulation on gas </w:t>
            </w:r>
            <w:proofErr w:type="spellStart"/>
            <w:r w:rsidRPr="00D02608">
              <w:rPr>
                <w:rFonts w:asciiTheme="minorHAnsi" w:hAnsiTheme="minorHAnsi"/>
                <w:sz w:val="22"/>
                <w:szCs w:val="22"/>
              </w:rPr>
              <w:t>SoS</w:t>
            </w:r>
            <w:proofErr w:type="spellEnd"/>
            <w:r w:rsidRPr="00D02608">
              <w:rPr>
                <w:rFonts w:asciiTheme="minorHAnsi" w:hAnsiTheme="minorHAnsi"/>
                <w:sz w:val="22"/>
                <w:szCs w:val="22"/>
              </w:rPr>
              <w:t xml:space="preserve"> issued 25 October 2017 and its mains streams (regional common risks assessments, alert and emergency plans, solidarity guidance)</w:t>
            </w:r>
          </w:p>
          <w:p w:rsidR="00BD0227" w:rsidRPr="00D02608" w:rsidRDefault="00BD0227" w:rsidP="00953FDE">
            <w:pPr>
              <w:pStyle w:val="ListParagraph"/>
              <w:ind w:left="367"/>
              <w:contextualSpacing w:val="0"/>
              <w:jc w:val="left"/>
              <w:outlineLvl w:val="0"/>
              <w:rPr>
                <w:rFonts w:asciiTheme="minorHAnsi" w:hAnsiTheme="minorHAnsi"/>
                <w:sz w:val="22"/>
                <w:szCs w:val="22"/>
              </w:rPr>
            </w:pPr>
            <w:r w:rsidRPr="00D02608">
              <w:rPr>
                <w:rFonts w:asciiTheme="minorHAnsi" w:hAnsiTheme="minorHAnsi"/>
                <w:sz w:val="22"/>
                <w:szCs w:val="22"/>
              </w:rPr>
              <w:t>Provide opinions &amp; standpoints if necessary</w:t>
            </w:r>
          </w:p>
        </w:tc>
        <w:tc>
          <w:tcPr>
            <w:tcW w:w="1559" w:type="dxa"/>
          </w:tcPr>
          <w:p w:rsidR="00BD0227" w:rsidRPr="00D02608" w:rsidRDefault="00BD0227" w:rsidP="00235535">
            <w:pPr>
              <w:spacing w:after="80"/>
              <w:jc w:val="center"/>
              <w:outlineLvl w:val="0"/>
              <w:rPr>
                <w:rFonts w:asciiTheme="minorHAnsi" w:hAnsiTheme="minorHAnsi"/>
                <w:sz w:val="22"/>
                <w:szCs w:val="22"/>
              </w:rPr>
            </w:pPr>
            <w:r w:rsidRPr="00D02608">
              <w:rPr>
                <w:rFonts w:asciiTheme="minorHAnsi" w:hAnsiTheme="minorHAnsi"/>
                <w:sz w:val="22"/>
                <w:szCs w:val="22"/>
              </w:rPr>
              <w:t>/</w:t>
            </w:r>
          </w:p>
        </w:tc>
        <w:tc>
          <w:tcPr>
            <w:tcW w:w="1276" w:type="dxa"/>
          </w:tcPr>
          <w:p w:rsidR="00BD0227" w:rsidRPr="00D02608" w:rsidRDefault="00BD0227" w:rsidP="00235535">
            <w:pPr>
              <w:spacing w:after="80"/>
              <w:jc w:val="center"/>
              <w:outlineLvl w:val="0"/>
              <w:rPr>
                <w:rFonts w:asciiTheme="minorHAnsi" w:hAnsiTheme="minorHAnsi"/>
                <w:sz w:val="22"/>
                <w:szCs w:val="22"/>
              </w:rPr>
            </w:pPr>
            <w:r w:rsidRPr="00D02608">
              <w:rPr>
                <w:rFonts w:asciiTheme="minorHAnsi" w:hAnsiTheme="minorHAnsi"/>
                <w:sz w:val="22"/>
                <w:szCs w:val="22"/>
              </w:rPr>
              <w:t>/</w:t>
            </w:r>
          </w:p>
        </w:tc>
        <w:tc>
          <w:tcPr>
            <w:tcW w:w="1563"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Gas stakeholders</w:t>
            </w:r>
          </w:p>
        </w:tc>
      </w:tr>
      <w:tr w:rsidR="00D02608" w:rsidRPr="00D02608" w:rsidTr="00BD0227">
        <w:trPr>
          <w:jc w:val="center"/>
        </w:trPr>
        <w:tc>
          <w:tcPr>
            <w:tcW w:w="2530" w:type="dxa"/>
          </w:tcPr>
          <w:p w:rsidR="00BD0227" w:rsidRPr="00D02608" w:rsidRDefault="00BD0227" w:rsidP="00235535">
            <w:pPr>
              <w:spacing w:after="200" w:line="276" w:lineRule="auto"/>
              <w:jc w:val="left"/>
              <w:outlineLvl w:val="0"/>
              <w:rPr>
                <w:rFonts w:asciiTheme="minorHAnsi" w:hAnsiTheme="minorHAnsi"/>
                <w:sz w:val="22"/>
                <w:szCs w:val="22"/>
              </w:rPr>
            </w:pPr>
            <w:r w:rsidRPr="00D02608">
              <w:rPr>
                <w:rFonts w:asciiTheme="minorHAnsi" w:hAnsiTheme="minorHAnsi"/>
                <w:sz w:val="22"/>
                <w:szCs w:val="22"/>
              </w:rPr>
              <w:t>Gas market design:</w:t>
            </w:r>
          </w:p>
          <w:p w:rsidR="00BD0227" w:rsidRPr="00D02608" w:rsidRDefault="00BD0227" w:rsidP="00235535">
            <w:pPr>
              <w:spacing w:after="200" w:line="276" w:lineRule="auto"/>
              <w:jc w:val="left"/>
              <w:outlineLvl w:val="0"/>
              <w:rPr>
                <w:rFonts w:asciiTheme="minorHAnsi" w:hAnsiTheme="minorHAnsi"/>
                <w:sz w:val="22"/>
                <w:szCs w:val="22"/>
              </w:rPr>
            </w:pPr>
            <w:r w:rsidRPr="00D02608">
              <w:rPr>
                <w:rFonts w:asciiTheme="minorHAnsi" w:hAnsiTheme="minorHAnsi"/>
                <w:sz w:val="22"/>
                <w:szCs w:val="22"/>
              </w:rPr>
              <w:lastRenderedPageBreak/>
              <w:t>Quo Vadis Study and next steps</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lastRenderedPageBreak/>
              <w:t xml:space="preserve">Monitor the Quo Vadis Study outcome &amp; react when </w:t>
            </w:r>
            <w:r w:rsidRPr="00D02608">
              <w:rPr>
                <w:rFonts w:asciiTheme="minorHAnsi" w:hAnsiTheme="minorHAnsi"/>
                <w:sz w:val="22"/>
                <w:szCs w:val="22"/>
              </w:rPr>
              <w:lastRenderedPageBreak/>
              <w:t>relevant (by writing position papers, meeting with the relevant stakeholders)</w:t>
            </w:r>
          </w:p>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Possibly provide comments on this issue, depending on the outcome of the study &amp; on the next steps envisaged by the EC</w:t>
            </w:r>
          </w:p>
        </w:tc>
        <w:tc>
          <w:tcPr>
            <w:tcW w:w="1559"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lastRenderedPageBreak/>
              <w:t>Q1 2018</w:t>
            </w:r>
          </w:p>
        </w:tc>
        <w:tc>
          <w:tcPr>
            <w:tcW w:w="1276"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 xml:space="preserve">Q1- Q2 </w:t>
            </w:r>
            <w:r w:rsidRPr="00D02608">
              <w:rPr>
                <w:rFonts w:asciiTheme="minorHAnsi" w:hAnsiTheme="minorHAnsi"/>
                <w:sz w:val="22"/>
                <w:szCs w:val="22"/>
              </w:rPr>
              <w:lastRenderedPageBreak/>
              <w:t>2018</w:t>
            </w:r>
          </w:p>
        </w:tc>
        <w:tc>
          <w:tcPr>
            <w:tcW w:w="1563"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lastRenderedPageBreak/>
              <w:t xml:space="preserve">EC, Gas </w:t>
            </w:r>
            <w:r w:rsidRPr="00D02608">
              <w:rPr>
                <w:rFonts w:asciiTheme="minorHAnsi" w:hAnsiTheme="minorHAnsi"/>
                <w:sz w:val="22"/>
                <w:szCs w:val="22"/>
              </w:rPr>
              <w:lastRenderedPageBreak/>
              <w:t>stakeholders</w:t>
            </w:r>
          </w:p>
        </w:tc>
      </w:tr>
      <w:tr w:rsidR="00D02608" w:rsidRPr="00D02608" w:rsidTr="00BD0227">
        <w:trPr>
          <w:jc w:val="center"/>
        </w:trPr>
        <w:tc>
          <w:tcPr>
            <w:tcW w:w="2530" w:type="dxa"/>
          </w:tcPr>
          <w:p w:rsidR="00BD0227" w:rsidRPr="00D02608" w:rsidRDefault="00BD0227" w:rsidP="00235535">
            <w:pPr>
              <w:spacing w:after="200" w:line="276" w:lineRule="auto"/>
              <w:jc w:val="left"/>
              <w:outlineLvl w:val="0"/>
              <w:rPr>
                <w:rFonts w:asciiTheme="minorHAnsi" w:hAnsiTheme="minorHAnsi"/>
                <w:sz w:val="22"/>
                <w:szCs w:val="22"/>
              </w:rPr>
            </w:pPr>
            <w:r w:rsidRPr="00D02608">
              <w:rPr>
                <w:rFonts w:asciiTheme="minorHAnsi" w:hAnsiTheme="minorHAnsi"/>
                <w:sz w:val="22"/>
                <w:szCs w:val="22"/>
              </w:rPr>
              <w:lastRenderedPageBreak/>
              <w:t>Madrid Forum</w:t>
            </w:r>
          </w:p>
          <w:p w:rsidR="00BD0227" w:rsidRPr="00D02608" w:rsidRDefault="00BD0227" w:rsidP="00235535">
            <w:pPr>
              <w:rPr>
                <w:rFonts w:asciiTheme="minorHAnsi" w:hAnsiTheme="minorHAnsi"/>
                <w:sz w:val="22"/>
                <w:szCs w:val="22"/>
              </w:rPr>
            </w:pP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Continue to participate and contribute to the European Gas Regulatory Forum focused on the gas market design.</w:t>
            </w:r>
          </w:p>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 xml:space="preserve">Specific work to undertake related to the interactions of gas and electricity, on the road to </w:t>
            </w:r>
            <w:proofErr w:type="spellStart"/>
            <w:r w:rsidRPr="00D02608">
              <w:rPr>
                <w:rFonts w:asciiTheme="minorHAnsi" w:hAnsiTheme="minorHAnsi"/>
                <w:sz w:val="22"/>
                <w:szCs w:val="22"/>
              </w:rPr>
              <w:t>decarbonisation</w:t>
            </w:r>
            <w:proofErr w:type="spellEnd"/>
          </w:p>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Potential work to undertake / anticipate, as preparatory step, on a future “Gas Package 2020” (which could be initiated by the EC once the Clean Energy package is completed).</w:t>
            </w:r>
          </w:p>
        </w:tc>
        <w:tc>
          <w:tcPr>
            <w:tcW w:w="1559"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Q3 2018</w:t>
            </w:r>
          </w:p>
        </w:tc>
        <w:tc>
          <w:tcPr>
            <w:tcW w:w="1276"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Q3 2018</w:t>
            </w:r>
          </w:p>
        </w:tc>
        <w:tc>
          <w:tcPr>
            <w:tcW w:w="1563" w:type="dxa"/>
          </w:tcPr>
          <w:p w:rsidR="00BD0227" w:rsidRPr="00D02608" w:rsidRDefault="00BD0227" w:rsidP="00235535">
            <w:pPr>
              <w:spacing w:after="80"/>
              <w:jc w:val="left"/>
              <w:outlineLvl w:val="0"/>
              <w:rPr>
                <w:rFonts w:asciiTheme="minorHAnsi" w:hAnsiTheme="minorHAnsi"/>
                <w:sz w:val="22"/>
                <w:szCs w:val="22"/>
              </w:rPr>
            </w:pPr>
            <w:r w:rsidRPr="00D02608">
              <w:rPr>
                <w:rFonts w:asciiTheme="minorHAnsi" w:hAnsiTheme="minorHAnsi"/>
                <w:sz w:val="22"/>
                <w:szCs w:val="22"/>
              </w:rPr>
              <w:t>EC, gas stakeholders</w:t>
            </w:r>
          </w:p>
        </w:tc>
      </w:tr>
      <w:tr w:rsidR="00D02608" w:rsidRPr="00D02608" w:rsidTr="00BD0227">
        <w:trPr>
          <w:jc w:val="center"/>
        </w:trPr>
        <w:tc>
          <w:tcPr>
            <w:tcW w:w="2530" w:type="dxa"/>
          </w:tcPr>
          <w:p w:rsidR="00BD0227" w:rsidRPr="00D02608" w:rsidRDefault="00BD0227" w:rsidP="00235535">
            <w:pPr>
              <w:spacing w:line="276" w:lineRule="auto"/>
              <w:jc w:val="left"/>
              <w:outlineLvl w:val="0"/>
              <w:rPr>
                <w:rFonts w:asciiTheme="minorHAnsi" w:hAnsiTheme="minorHAnsi"/>
                <w:sz w:val="22"/>
                <w:szCs w:val="22"/>
              </w:rPr>
            </w:pPr>
            <w:r w:rsidRPr="00D02608">
              <w:rPr>
                <w:rFonts w:asciiTheme="minorHAnsi" w:hAnsiTheme="minorHAnsi"/>
                <w:sz w:val="22"/>
                <w:szCs w:val="22"/>
              </w:rPr>
              <w:t>Cooperation with ENTSO-G and GIE</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Continue to exchange with ENTSO-G and GIE and to participate to their workshops (e.g. on the TYNDP, Projects of common interest and cost benefit analysis)</w:t>
            </w:r>
          </w:p>
        </w:tc>
        <w:tc>
          <w:tcPr>
            <w:tcW w:w="1559" w:type="dxa"/>
          </w:tcPr>
          <w:p w:rsidR="00BD0227" w:rsidRPr="00D02608" w:rsidRDefault="00BD0227" w:rsidP="00235535">
            <w:pPr>
              <w:spacing w:after="80"/>
              <w:jc w:val="center"/>
              <w:outlineLvl w:val="0"/>
            </w:pPr>
            <w:r w:rsidRPr="00D02608">
              <w:rPr>
                <w:rFonts w:asciiTheme="minorHAnsi" w:hAnsiTheme="minorHAnsi"/>
                <w:sz w:val="22"/>
                <w:szCs w:val="22"/>
              </w:rPr>
              <w:t>/</w:t>
            </w:r>
          </w:p>
        </w:tc>
        <w:tc>
          <w:tcPr>
            <w:tcW w:w="1276" w:type="dxa"/>
          </w:tcPr>
          <w:p w:rsidR="00BD0227" w:rsidRPr="00D02608" w:rsidRDefault="00BD0227" w:rsidP="00235535">
            <w:pPr>
              <w:spacing w:after="80"/>
              <w:jc w:val="center"/>
              <w:outlineLvl w:val="0"/>
            </w:pPr>
            <w:r w:rsidRPr="00D02608">
              <w:rPr>
                <w:rFonts w:asciiTheme="minorHAnsi" w:hAnsiTheme="minorHAnsi"/>
                <w:sz w:val="22"/>
                <w:szCs w:val="22"/>
              </w:rPr>
              <w:t>/</w:t>
            </w:r>
          </w:p>
        </w:tc>
        <w:tc>
          <w:tcPr>
            <w:tcW w:w="1563" w:type="dxa"/>
          </w:tcPr>
          <w:p w:rsidR="00BD0227" w:rsidRPr="00D02608" w:rsidRDefault="00BD0227" w:rsidP="00235535">
            <w:pPr>
              <w:spacing w:after="80"/>
              <w:outlineLvl w:val="0"/>
            </w:pPr>
            <w:r w:rsidRPr="00D02608">
              <w:rPr>
                <w:rFonts w:asciiTheme="minorHAnsi" w:hAnsiTheme="minorHAnsi"/>
                <w:sz w:val="22"/>
                <w:szCs w:val="22"/>
              </w:rPr>
              <w:t>Gas stakeholders</w:t>
            </w:r>
          </w:p>
        </w:tc>
      </w:tr>
      <w:tr w:rsidR="00BD0227" w:rsidRPr="00D02608" w:rsidTr="00BD0227">
        <w:trPr>
          <w:jc w:val="center"/>
        </w:trPr>
        <w:tc>
          <w:tcPr>
            <w:tcW w:w="2530" w:type="dxa"/>
          </w:tcPr>
          <w:p w:rsidR="00BD0227" w:rsidRPr="00D02608" w:rsidRDefault="00BD0227" w:rsidP="00235535">
            <w:pPr>
              <w:spacing w:after="200" w:line="276" w:lineRule="auto"/>
              <w:jc w:val="left"/>
              <w:outlineLvl w:val="0"/>
              <w:rPr>
                <w:rFonts w:asciiTheme="minorHAnsi" w:hAnsiTheme="minorHAnsi"/>
                <w:sz w:val="22"/>
                <w:szCs w:val="22"/>
              </w:rPr>
            </w:pPr>
            <w:r w:rsidRPr="00D02608">
              <w:rPr>
                <w:rFonts w:asciiTheme="minorHAnsi" w:hAnsiTheme="minorHAnsi"/>
                <w:sz w:val="22"/>
                <w:szCs w:val="22"/>
              </w:rPr>
              <w:t>Network codes (NC) implementation</w:t>
            </w:r>
          </w:p>
        </w:tc>
        <w:tc>
          <w:tcPr>
            <w:tcW w:w="3399" w:type="dxa"/>
          </w:tcPr>
          <w:p w:rsidR="00BD0227" w:rsidRPr="00D02608" w:rsidRDefault="00BD0227" w:rsidP="00953FDE">
            <w:pPr>
              <w:pStyle w:val="ListParagraph"/>
              <w:spacing w:after="80"/>
              <w:ind w:left="367"/>
              <w:contextualSpacing w:val="0"/>
              <w:jc w:val="left"/>
              <w:outlineLvl w:val="0"/>
              <w:rPr>
                <w:rFonts w:asciiTheme="minorHAnsi" w:hAnsiTheme="minorHAnsi"/>
                <w:sz w:val="22"/>
                <w:szCs w:val="22"/>
              </w:rPr>
            </w:pPr>
            <w:r w:rsidRPr="00D02608">
              <w:rPr>
                <w:rFonts w:asciiTheme="minorHAnsi" w:hAnsiTheme="minorHAnsi"/>
                <w:sz w:val="22"/>
                <w:szCs w:val="22"/>
              </w:rPr>
              <w:t>When relevant, follow-up of issue identified at a regional or European level in the implementation of a gas NC.</w:t>
            </w:r>
          </w:p>
        </w:tc>
        <w:tc>
          <w:tcPr>
            <w:tcW w:w="1559" w:type="dxa"/>
          </w:tcPr>
          <w:p w:rsidR="00BD0227" w:rsidRPr="00D02608" w:rsidRDefault="00BD0227" w:rsidP="00235535">
            <w:pPr>
              <w:spacing w:after="80"/>
              <w:jc w:val="center"/>
              <w:outlineLvl w:val="0"/>
              <w:rPr>
                <w:rFonts w:asciiTheme="minorHAnsi" w:hAnsiTheme="minorHAnsi"/>
                <w:sz w:val="22"/>
                <w:szCs w:val="22"/>
              </w:rPr>
            </w:pPr>
            <w:r w:rsidRPr="00D02608">
              <w:rPr>
                <w:rFonts w:asciiTheme="minorHAnsi" w:hAnsiTheme="minorHAnsi"/>
                <w:sz w:val="22"/>
                <w:szCs w:val="22"/>
              </w:rPr>
              <w:t>/</w:t>
            </w:r>
          </w:p>
        </w:tc>
        <w:tc>
          <w:tcPr>
            <w:tcW w:w="1276" w:type="dxa"/>
          </w:tcPr>
          <w:p w:rsidR="00BD0227" w:rsidRPr="00D02608" w:rsidRDefault="00BD0227" w:rsidP="00235535">
            <w:pPr>
              <w:spacing w:after="80"/>
              <w:jc w:val="center"/>
              <w:outlineLvl w:val="0"/>
              <w:rPr>
                <w:rFonts w:asciiTheme="minorHAnsi" w:hAnsiTheme="minorHAnsi"/>
                <w:sz w:val="22"/>
                <w:szCs w:val="22"/>
              </w:rPr>
            </w:pPr>
            <w:r w:rsidRPr="00D02608">
              <w:rPr>
                <w:rFonts w:asciiTheme="minorHAnsi" w:hAnsiTheme="minorHAnsi"/>
                <w:sz w:val="22"/>
                <w:szCs w:val="22"/>
              </w:rPr>
              <w:t>/</w:t>
            </w:r>
          </w:p>
        </w:tc>
        <w:tc>
          <w:tcPr>
            <w:tcW w:w="1563" w:type="dxa"/>
          </w:tcPr>
          <w:p w:rsidR="00BD0227" w:rsidRPr="00D02608" w:rsidRDefault="00BD0227" w:rsidP="00235535">
            <w:pPr>
              <w:spacing w:after="80"/>
              <w:jc w:val="center"/>
              <w:outlineLvl w:val="0"/>
              <w:rPr>
                <w:rFonts w:asciiTheme="minorHAnsi" w:hAnsiTheme="minorHAnsi"/>
                <w:sz w:val="22"/>
                <w:szCs w:val="22"/>
              </w:rPr>
            </w:pPr>
            <w:r w:rsidRPr="00D02608">
              <w:rPr>
                <w:rFonts w:asciiTheme="minorHAnsi" w:hAnsiTheme="minorHAnsi"/>
                <w:sz w:val="22"/>
                <w:szCs w:val="22"/>
              </w:rPr>
              <w:t>/</w:t>
            </w:r>
          </w:p>
        </w:tc>
      </w:tr>
    </w:tbl>
    <w:p w:rsidR="00392B30" w:rsidRPr="00D02608" w:rsidRDefault="00392B30" w:rsidP="00392B30"/>
    <w:bookmarkEnd w:id="0"/>
    <w:p w:rsidR="008A4E18" w:rsidRPr="00D02608" w:rsidRDefault="008A4E18" w:rsidP="007F3CE9">
      <w:pPr>
        <w:tabs>
          <w:tab w:val="left" w:pos="6600"/>
        </w:tabs>
      </w:pPr>
    </w:p>
    <w:sectPr w:rsidR="008A4E18" w:rsidRPr="00D02608" w:rsidSect="00392B30">
      <w:headerReference w:type="default" r:id="rId9"/>
      <w:headerReference w:type="first" r:id="rId10"/>
      <w:pgSz w:w="11906" w:h="16838"/>
      <w:pgMar w:top="1440" w:right="1440" w:bottom="1440" w:left="144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8A1558" w16cid:durableId="1E7B15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59" w:rsidRDefault="00944459" w:rsidP="00F83730">
      <w:pPr>
        <w:spacing w:after="0" w:line="240" w:lineRule="auto"/>
      </w:pPr>
      <w:r>
        <w:separator/>
      </w:r>
    </w:p>
  </w:endnote>
  <w:endnote w:type="continuationSeparator" w:id="0">
    <w:p w:rsidR="00944459" w:rsidRDefault="00944459"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59" w:rsidRDefault="00944459" w:rsidP="00F83730">
      <w:pPr>
        <w:spacing w:after="0" w:line="240" w:lineRule="auto"/>
      </w:pPr>
      <w:r>
        <w:separator/>
      </w:r>
    </w:p>
  </w:footnote>
  <w:footnote w:type="continuationSeparator" w:id="0">
    <w:p w:rsidR="00944459" w:rsidRDefault="00944459"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94" w:rsidRDefault="00BB3A94">
    <w:pPr>
      <w:pStyle w:val="Header"/>
    </w:pPr>
    <w:r>
      <w:rPr>
        <w:noProof/>
      </w:rPr>
      <w:t xml:space="preserve">           </w:t>
    </w:r>
    <w:r w:rsidRPr="00BA6A2C">
      <w:rPr>
        <w:noProof/>
        <w:lang w:eastAsia="en-GB"/>
      </w:rPr>
      <w:drawing>
        <wp:inline distT="0" distB="0" distL="0" distR="0" wp14:anchorId="2E91B789" wp14:editId="273AD784">
          <wp:extent cx="2088107" cy="457436"/>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30" w:rsidRDefault="00392B30" w:rsidP="00392B30">
    <w:pPr>
      <w:pStyle w:val="Header"/>
    </w:pPr>
    <w:r w:rsidRPr="00BA6A2C">
      <w:rPr>
        <w:noProof/>
        <w:lang w:eastAsia="en-GB"/>
      </w:rPr>
      <w:drawing>
        <wp:inline distT="0" distB="0" distL="0" distR="0" wp14:anchorId="4103F189" wp14:editId="4F55F5A7">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p w:rsidR="00392B30" w:rsidRDefault="00392B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6CA2A64"/>
    <w:multiLevelType w:val="hybridMultilevel"/>
    <w:tmpl w:val="107CEC26"/>
    <w:lvl w:ilvl="0" w:tplc="D3E2310E">
      <w:start w:val="11"/>
      <w:numFmt w:val="bullet"/>
      <w:lvlText w:val="-"/>
      <w:lvlPicBulletId w:val="0"/>
      <w:lvlJc w:val="left"/>
      <w:pPr>
        <w:ind w:left="1080" w:hanging="360"/>
      </w:pPr>
      <w:rPr>
        <w:rFonts w:ascii="Arial" w:eastAsia="Times New Roman" w:hAnsi="Arial" w:cs="Aria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3FD0CD9"/>
    <w:multiLevelType w:val="hybridMultilevel"/>
    <w:tmpl w:val="05E47FD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2621686E"/>
    <w:multiLevelType w:val="hybridMultilevel"/>
    <w:tmpl w:val="EAFC558C"/>
    <w:lvl w:ilvl="0" w:tplc="E06080D2">
      <w:start w:val="1"/>
      <w:numFmt w:val="bullet"/>
      <w:lvlText w:val=""/>
      <w:lvlPicBulletId w:val="0"/>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A349E3"/>
    <w:multiLevelType w:val="hybridMultilevel"/>
    <w:tmpl w:val="B38ECF1A"/>
    <w:lvl w:ilvl="0" w:tplc="5B009F3C">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EF67BB"/>
    <w:multiLevelType w:val="hybridMultilevel"/>
    <w:tmpl w:val="597A3918"/>
    <w:lvl w:ilvl="0" w:tplc="0809000F">
      <w:start w:val="1"/>
      <w:numFmt w:val="decimal"/>
      <w:lvlText w:val="%1."/>
      <w:lvlJc w:val="left"/>
      <w:pPr>
        <w:ind w:left="587" w:hanging="360"/>
      </w:pPr>
    </w:lvl>
    <w:lvl w:ilvl="1" w:tplc="08090019" w:tentative="1">
      <w:start w:val="1"/>
      <w:numFmt w:val="lowerLetter"/>
      <w:lvlText w:val="%2."/>
      <w:lvlJc w:val="left"/>
      <w:pPr>
        <w:ind w:left="1307" w:hanging="360"/>
      </w:p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11">
    <w:nsid w:val="32006D88"/>
    <w:multiLevelType w:val="hybridMultilevel"/>
    <w:tmpl w:val="B07C1A8E"/>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575843"/>
    <w:multiLevelType w:val="hybridMultilevel"/>
    <w:tmpl w:val="A06865C8"/>
    <w:lvl w:ilvl="0" w:tplc="0809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28A6895"/>
    <w:multiLevelType w:val="hybridMultilevel"/>
    <w:tmpl w:val="33246F18"/>
    <w:lvl w:ilvl="0" w:tplc="7A6E72F6">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15">
    <w:nsid w:val="46543D51"/>
    <w:multiLevelType w:val="hybridMultilevel"/>
    <w:tmpl w:val="18920AB4"/>
    <w:lvl w:ilvl="0" w:tplc="D3E2310E">
      <w:start w:val="11"/>
      <w:numFmt w:val="bullet"/>
      <w:lvlText w:val="-"/>
      <w:lvlPicBulletId w:val="0"/>
      <w:lvlJc w:val="left"/>
      <w:pPr>
        <w:ind w:left="360" w:hanging="360"/>
      </w:pPr>
      <w:rPr>
        <w:rFonts w:ascii="Arial" w:eastAsia="Times New Roman" w:hAnsi="Arial" w:cs="Aria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C523A50"/>
    <w:multiLevelType w:val="hybridMultilevel"/>
    <w:tmpl w:val="7B8E98C6"/>
    <w:lvl w:ilvl="0" w:tplc="D3E2310E">
      <w:start w:val="11"/>
      <w:numFmt w:val="bullet"/>
      <w:lvlText w:val="-"/>
      <w:lvlJc w:val="left"/>
      <w:pPr>
        <w:ind w:left="360" w:hanging="360"/>
      </w:pPr>
      <w:rPr>
        <w:rFonts w:ascii="Arial" w:eastAsia="Times New Roman" w:hAnsi="Arial" w:cs="Aria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9B967F6"/>
    <w:multiLevelType w:val="hybridMultilevel"/>
    <w:tmpl w:val="4490C9CC"/>
    <w:lvl w:ilvl="0" w:tplc="5B009F3C">
      <w:numFmt w:val="bullet"/>
      <w:lvlText w:val="-"/>
      <w:lvlPicBulletId w:val="0"/>
      <w:lvlJc w:val="left"/>
      <w:pPr>
        <w:ind w:left="360" w:hanging="360"/>
      </w:pPr>
      <w:rPr>
        <w:rFonts w:ascii="Calibri" w:eastAsia="Times New Roman" w:hAnsi="Calibri" w:cs="Times New Roman"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60DA5CFE"/>
    <w:multiLevelType w:val="hybridMultilevel"/>
    <w:tmpl w:val="75DE605A"/>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B13145C"/>
    <w:multiLevelType w:val="hybridMultilevel"/>
    <w:tmpl w:val="178EF178"/>
    <w:lvl w:ilvl="0" w:tplc="46B875E8">
      <w:start w:val="1"/>
      <w:numFmt w:val="bullet"/>
      <w:lvlText w:val=""/>
      <w:lvlJc w:val="left"/>
      <w:pPr>
        <w:ind w:left="927"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30">
    <w:nsid w:val="712A2539"/>
    <w:multiLevelType w:val="singleLevel"/>
    <w:tmpl w:val="38461EEE"/>
    <w:lvl w:ilvl="0">
      <w:numFmt w:val="bullet"/>
      <w:lvlText w:val="-"/>
      <w:lvlJc w:val="left"/>
      <w:pPr>
        <w:tabs>
          <w:tab w:val="num" w:pos="360"/>
        </w:tabs>
        <w:ind w:left="360" w:hanging="360"/>
      </w:pPr>
    </w:lvl>
  </w:abstractNum>
  <w:abstractNum w:abstractNumId="31">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
  </w:num>
  <w:num w:numId="2">
    <w:abstractNumId w:val="5"/>
  </w:num>
  <w:num w:numId="3">
    <w:abstractNumId w:val="3"/>
  </w:num>
  <w:num w:numId="4">
    <w:abstractNumId w:val="18"/>
  </w:num>
  <w:num w:numId="5">
    <w:abstractNumId w:val="28"/>
  </w:num>
  <w:num w:numId="6">
    <w:abstractNumId w:val="21"/>
  </w:num>
  <w:num w:numId="7">
    <w:abstractNumId w:val="27"/>
  </w:num>
  <w:num w:numId="8">
    <w:abstractNumId w:val="7"/>
  </w:num>
  <w:num w:numId="9">
    <w:abstractNumId w:val="17"/>
  </w:num>
  <w:num w:numId="10">
    <w:abstractNumId w:val="9"/>
  </w:num>
  <w:num w:numId="11">
    <w:abstractNumId w:val="24"/>
  </w:num>
  <w:num w:numId="12">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4"/>
  </w:num>
  <w:num w:numId="15">
    <w:abstractNumId w:val="2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0"/>
  </w:num>
  <w:num w:numId="18">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0"/>
  </w:num>
  <w:num w:numId="22">
    <w:abstractNumId w:val="25"/>
  </w:num>
  <w:num w:numId="23">
    <w:abstractNumId w:val="6"/>
  </w:num>
  <w:num w:numId="24">
    <w:abstractNumId w:val="12"/>
  </w:num>
  <w:num w:numId="25">
    <w:abstractNumId w:val="1"/>
  </w:num>
  <w:num w:numId="26">
    <w:abstractNumId w:val="15"/>
  </w:num>
  <w:num w:numId="27">
    <w:abstractNumId w:val="19"/>
  </w:num>
  <w:num w:numId="28">
    <w:abstractNumId w:val="23"/>
  </w:num>
  <w:num w:numId="29">
    <w:abstractNumId w:val="16"/>
  </w:num>
  <w:num w:numId="30">
    <w:abstractNumId w:val="8"/>
  </w:num>
  <w:num w:numId="31">
    <w:abstractNumId w:val="1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025E4"/>
    <w:rsid w:val="00016762"/>
    <w:rsid w:val="00093524"/>
    <w:rsid w:val="000C6EA4"/>
    <w:rsid w:val="00167A08"/>
    <w:rsid w:val="00182EE7"/>
    <w:rsid w:val="00192E6B"/>
    <w:rsid w:val="001F0E9C"/>
    <w:rsid w:val="001F5C01"/>
    <w:rsid w:val="00221A07"/>
    <w:rsid w:val="002A1D44"/>
    <w:rsid w:val="002C5913"/>
    <w:rsid w:val="003131CB"/>
    <w:rsid w:val="00341649"/>
    <w:rsid w:val="00355484"/>
    <w:rsid w:val="00384DC5"/>
    <w:rsid w:val="00392B30"/>
    <w:rsid w:val="00427F37"/>
    <w:rsid w:val="0044711A"/>
    <w:rsid w:val="0046606B"/>
    <w:rsid w:val="00472563"/>
    <w:rsid w:val="004808C4"/>
    <w:rsid w:val="0048220D"/>
    <w:rsid w:val="004A51C5"/>
    <w:rsid w:val="004A5976"/>
    <w:rsid w:val="004F47E1"/>
    <w:rsid w:val="005120D9"/>
    <w:rsid w:val="005176B2"/>
    <w:rsid w:val="005277F2"/>
    <w:rsid w:val="005E2BFB"/>
    <w:rsid w:val="006D6C3E"/>
    <w:rsid w:val="00714CE0"/>
    <w:rsid w:val="007240EB"/>
    <w:rsid w:val="007540CF"/>
    <w:rsid w:val="00760386"/>
    <w:rsid w:val="00763B82"/>
    <w:rsid w:val="007B0120"/>
    <w:rsid w:val="007C424F"/>
    <w:rsid w:val="007F3CE9"/>
    <w:rsid w:val="008266B2"/>
    <w:rsid w:val="00845398"/>
    <w:rsid w:val="00847DCA"/>
    <w:rsid w:val="008713D6"/>
    <w:rsid w:val="008A4E18"/>
    <w:rsid w:val="008F5C7E"/>
    <w:rsid w:val="00930476"/>
    <w:rsid w:val="009312FC"/>
    <w:rsid w:val="0093339E"/>
    <w:rsid w:val="00944459"/>
    <w:rsid w:val="00944A0A"/>
    <w:rsid w:val="00953FDE"/>
    <w:rsid w:val="009846A7"/>
    <w:rsid w:val="00987908"/>
    <w:rsid w:val="009A7D39"/>
    <w:rsid w:val="00A128B9"/>
    <w:rsid w:val="00A43F1E"/>
    <w:rsid w:val="00A72424"/>
    <w:rsid w:val="00A771EE"/>
    <w:rsid w:val="00AE2D3C"/>
    <w:rsid w:val="00B219C9"/>
    <w:rsid w:val="00B66412"/>
    <w:rsid w:val="00B90CA3"/>
    <w:rsid w:val="00BA70E2"/>
    <w:rsid w:val="00BB3A94"/>
    <w:rsid w:val="00BC71B9"/>
    <w:rsid w:val="00BD0227"/>
    <w:rsid w:val="00C92C12"/>
    <w:rsid w:val="00CD1F76"/>
    <w:rsid w:val="00D02608"/>
    <w:rsid w:val="00D02FEA"/>
    <w:rsid w:val="00D7671D"/>
    <w:rsid w:val="00D84F3A"/>
    <w:rsid w:val="00D958BB"/>
    <w:rsid w:val="00DF2F8C"/>
    <w:rsid w:val="00EA54DD"/>
    <w:rsid w:val="00EB1059"/>
    <w:rsid w:val="00EC5393"/>
    <w:rsid w:val="00EE71BA"/>
    <w:rsid w:val="00EF2B5E"/>
    <w:rsid w:val="00F83730"/>
    <w:rsid w:val="00F869DD"/>
    <w:rsid w:val="00F93B7F"/>
    <w:rsid w:val="00FD6838"/>
    <w:rsid w:val="00FE2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table" w:styleId="TableGrid">
    <w:name w:val="Table Grid"/>
    <w:basedOn w:val="TableNormal"/>
    <w:rsid w:val="00221A07"/>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A54DD"/>
    <w:rPr>
      <w:sz w:val="16"/>
      <w:szCs w:val="16"/>
    </w:rPr>
  </w:style>
  <w:style w:type="paragraph" w:styleId="CommentText">
    <w:name w:val="annotation text"/>
    <w:basedOn w:val="Normal"/>
    <w:link w:val="CommentTextChar"/>
    <w:uiPriority w:val="99"/>
    <w:semiHidden/>
    <w:unhideWhenUsed/>
    <w:rsid w:val="00EA54DD"/>
    <w:pPr>
      <w:spacing w:line="240" w:lineRule="auto"/>
    </w:pPr>
    <w:rPr>
      <w:sz w:val="20"/>
      <w:szCs w:val="20"/>
    </w:rPr>
  </w:style>
  <w:style w:type="character" w:customStyle="1" w:styleId="CommentTextChar">
    <w:name w:val="Comment Text Char"/>
    <w:basedOn w:val="DefaultParagraphFont"/>
    <w:link w:val="CommentText"/>
    <w:uiPriority w:val="99"/>
    <w:semiHidden/>
    <w:rsid w:val="00EA54DD"/>
    <w:rPr>
      <w:sz w:val="20"/>
      <w:szCs w:val="20"/>
    </w:rPr>
  </w:style>
  <w:style w:type="paragraph" w:styleId="CommentSubject">
    <w:name w:val="annotation subject"/>
    <w:basedOn w:val="CommentText"/>
    <w:next w:val="CommentText"/>
    <w:link w:val="CommentSubjectChar"/>
    <w:uiPriority w:val="99"/>
    <w:semiHidden/>
    <w:unhideWhenUsed/>
    <w:rsid w:val="00EA54DD"/>
    <w:rPr>
      <w:b/>
      <w:bCs/>
    </w:rPr>
  </w:style>
  <w:style w:type="character" w:customStyle="1" w:styleId="CommentSubjectChar">
    <w:name w:val="Comment Subject Char"/>
    <w:basedOn w:val="CommentTextChar"/>
    <w:link w:val="CommentSubject"/>
    <w:uiPriority w:val="99"/>
    <w:semiHidden/>
    <w:rsid w:val="00EA54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table" w:styleId="TableGrid">
    <w:name w:val="Table Grid"/>
    <w:basedOn w:val="TableNormal"/>
    <w:rsid w:val="00221A07"/>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A54DD"/>
    <w:rPr>
      <w:sz w:val="16"/>
      <w:szCs w:val="16"/>
    </w:rPr>
  </w:style>
  <w:style w:type="paragraph" w:styleId="CommentText">
    <w:name w:val="annotation text"/>
    <w:basedOn w:val="Normal"/>
    <w:link w:val="CommentTextChar"/>
    <w:uiPriority w:val="99"/>
    <w:semiHidden/>
    <w:unhideWhenUsed/>
    <w:rsid w:val="00EA54DD"/>
    <w:pPr>
      <w:spacing w:line="240" w:lineRule="auto"/>
    </w:pPr>
    <w:rPr>
      <w:sz w:val="20"/>
      <w:szCs w:val="20"/>
    </w:rPr>
  </w:style>
  <w:style w:type="character" w:customStyle="1" w:styleId="CommentTextChar">
    <w:name w:val="Comment Text Char"/>
    <w:basedOn w:val="DefaultParagraphFont"/>
    <w:link w:val="CommentText"/>
    <w:uiPriority w:val="99"/>
    <w:semiHidden/>
    <w:rsid w:val="00EA54DD"/>
    <w:rPr>
      <w:sz w:val="20"/>
      <w:szCs w:val="20"/>
    </w:rPr>
  </w:style>
  <w:style w:type="paragraph" w:styleId="CommentSubject">
    <w:name w:val="annotation subject"/>
    <w:basedOn w:val="CommentText"/>
    <w:next w:val="CommentText"/>
    <w:link w:val="CommentSubjectChar"/>
    <w:uiPriority w:val="99"/>
    <w:semiHidden/>
    <w:unhideWhenUsed/>
    <w:rsid w:val="00EA54DD"/>
    <w:rPr>
      <w:b/>
      <w:bCs/>
    </w:rPr>
  </w:style>
  <w:style w:type="character" w:customStyle="1" w:styleId="CommentSubjectChar">
    <w:name w:val="Comment Subject Char"/>
    <w:basedOn w:val="CommentTextChar"/>
    <w:link w:val="CommentSubject"/>
    <w:uiPriority w:val="99"/>
    <w:semiHidden/>
    <w:rsid w:val="00EA54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251949">
      <w:bodyDiv w:val="1"/>
      <w:marLeft w:val="0"/>
      <w:marRight w:val="0"/>
      <w:marTop w:val="0"/>
      <w:marBottom w:val="0"/>
      <w:divBdr>
        <w:top w:val="none" w:sz="0" w:space="0" w:color="auto"/>
        <w:left w:val="none" w:sz="0" w:space="0" w:color="auto"/>
        <w:bottom w:val="none" w:sz="0" w:space="0" w:color="auto"/>
        <w:right w:val="none" w:sz="0" w:space="0" w:color="auto"/>
      </w:divBdr>
    </w:div>
    <w:div w:id="46231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001BE-2D28-45BB-A815-41392AD0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Eurelectric</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17</cp:revision>
  <dcterms:created xsi:type="dcterms:W3CDTF">2018-05-04T12:11:00Z</dcterms:created>
  <dcterms:modified xsi:type="dcterms:W3CDTF">2018-05-17T12:28:00Z</dcterms:modified>
</cp:coreProperties>
</file>